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1.Description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driver of peripheral device shall connect to the PC ( peripheral device as dongle) and to one device which that control the experimental installation. Also it shall be able to support 16(MAX) device connections. The driver shall be written in C and it shall support two standards: Bluetooth 4.0 and Serial Protocol.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1.1. Components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BLE constructor is  used to abstract away BLW-capable radio transceiver, also it is used to work with any radio transparently(older Bluetooth profile);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pc constructor is used to send or receive to/from dongle.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variables are used 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 buffers;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UUID of clients;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name of clients;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checking states;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data payload;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functions  are used 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receiving/ transmitting data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to identify clients,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decoding local commands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scanning clients,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data parsing;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reading parameters of clients;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1.2.Flow chart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701159" cy="735707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159" cy="7357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2.Use-cases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US1: </w:t>
      </w:r>
      <w:r w:rsidDel="00000000" w:rsidR="00000000" w:rsidRPr="00000000">
        <w:rPr>
          <w:sz w:val="24"/>
          <w:szCs w:val="24"/>
          <w:rtl w:val="0"/>
        </w:rPr>
        <w:t xml:space="preserve">Dongle is used to transfer data from experimental installation to PC.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US2: </w:t>
      </w:r>
      <w:r w:rsidDel="00000000" w:rsidR="00000000" w:rsidRPr="00000000">
        <w:rPr>
          <w:sz w:val="24"/>
          <w:szCs w:val="24"/>
          <w:rtl w:val="0"/>
        </w:rPr>
        <w:t xml:space="preserve">Dongle is used to transfer data from PC to experimental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US3: </w:t>
      </w:r>
      <w:r w:rsidDel="00000000" w:rsidR="00000000" w:rsidRPr="00000000">
        <w:rPr>
          <w:sz w:val="24"/>
          <w:szCs w:val="24"/>
          <w:rtl w:val="0"/>
        </w:rPr>
        <w:t xml:space="preserve">Dongle receive and event from client that’s  disconnected.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US4: </w:t>
      </w:r>
      <w:r w:rsidDel="00000000" w:rsidR="00000000" w:rsidRPr="00000000">
        <w:rPr>
          <w:sz w:val="24"/>
          <w:szCs w:val="24"/>
          <w:rtl w:val="0"/>
        </w:rPr>
        <w:t xml:space="preserve">Dongle receive a request to send a command to other client that one is connected in that moment.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2.Buffers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Buffers are used for radio message transmission. Driver should contains more buffer for: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rx-data;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rx/tx payload;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clients (uuid, name and other details);</w:t>
      </w:r>
    </w:p>
    <w:p w:rsidR="00000000" w:rsidDel="00000000" w:rsidP="00000000" w:rsidRDefault="00000000" w:rsidRPr="00000000">
      <w:pPr>
        <w:spacing w:after="160" w:before="0" w:line="259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 w:num="2">
        <w:col w:space="708" w:w="4326"/>
        <w:col w:space="0" w:w="432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2"/>
      <w:numFmt w:val="bullet"/>
      <w:lvlText w:val="&gt;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image" Target="media/image01.png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Props1.xml><?xml version="1.0" encoding="utf-8"?>
<ds:datastoreItem xmlns:ds="http://schemas.openxmlformats.org/officeDocument/2006/customXml" ds:itemID="{E69D2FB6-FA52-4B3D-8671-24672685D805}"/>
</file>

<file path=customXml/itemProps2.xml><?xml version="1.0" encoding="utf-8"?>
<ds:datastoreItem xmlns:ds="http://schemas.openxmlformats.org/officeDocument/2006/customXml" ds:itemID="{89E76732-08BD-495C-B163-B0CABB10C691}"/>
</file>

<file path=customXml/itemProps3.xml><?xml version="1.0" encoding="utf-8"?>
<ds:datastoreItem xmlns:ds="http://schemas.openxmlformats.org/officeDocument/2006/customXml" ds:itemID="{9F059FBE-FD68-48BD-9163-5AF8CE9CF82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