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36EE9F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【Ai-Thinker Radar Rd-03L_V2 User Guide – Ultra-Low Power Human Presence Detection, Quick Setup via PC Software, Ready to Use】</w:t>
      </w:r>
    </w:p>
    <w:p w14:paraId="53D91037">
      <w:pPr>
        <w:pStyle w:val="4"/>
        <w:keepNext w:val="0"/>
        <w:keepLines w:val="0"/>
        <w:widowControl/>
        <w:suppressLineNumbers w:val="0"/>
      </w:pPr>
      <w:r>
        <w:t>Introduction</w:t>
      </w:r>
    </w:p>
    <w:p w14:paraId="7E6EE2BA">
      <w:pPr>
        <w:pStyle w:val="6"/>
        <w:keepNext w:val="0"/>
        <w:keepLines w:val="0"/>
        <w:widowControl/>
        <w:suppressLineNumbers w:val="0"/>
      </w:pPr>
      <w:r>
        <w:t xml:space="preserve">The </w:t>
      </w:r>
      <w:r>
        <w:rPr>
          <w:rStyle w:val="9"/>
        </w:rPr>
        <w:t>Rd-03L_V2</w:t>
      </w:r>
      <w:r>
        <w:t xml:space="preserve"> is an ultra-low power millimeter-wave human presence sensor module developed by Ai-Thinker. It features a simplified 24GHz radar sensor hardware and a low-power human presence detection algorithm firmware. </w:t>
      </w:r>
    </w:p>
    <w:p w14:paraId="0EC67B7F">
      <w:pPr>
        <w:pStyle w:val="6"/>
        <w:keepNext w:val="0"/>
        <w:keepLines w:val="0"/>
        <w:widowControl/>
        <w:suppressLineNumbers w:val="0"/>
      </w:pPr>
      <w:r>
        <w:t xml:space="preserve">Equipped with the AloT millimeter-wave sensor SoC </w:t>
      </w:r>
      <w:r>
        <w:rPr>
          <w:rStyle w:val="9"/>
        </w:rPr>
        <w:t>ICL1112</w:t>
      </w:r>
      <w:r>
        <w:t>, a high-performance 24GHz 1T1R antenna, and peripheral circuits, the module utilizes distance measurement technology combined with advanced proprietary radar signal processing and low-power control technology from the ICL1112 chip to accurately detect moving, micro-moving, and stationary human bodies.</w:t>
      </w:r>
    </w:p>
    <w:p w14:paraId="0F09FD07">
      <w:pPr>
        <w:pStyle w:val="6"/>
        <w:keepNext w:val="0"/>
        <w:keepLines w:val="0"/>
        <w:widowControl/>
        <w:suppressLineNumbers w:val="0"/>
      </w:pPr>
      <w:r>
        <w:t>This low-power detection algorithm is mainly designed for indoor applications to sense whether there are moving or micro-moving human bodies within the area, continuously updating the detection results in real time under low-power mode.</w:t>
      </w:r>
    </w:p>
    <w:p w14:paraId="1ED2FCB1">
      <w:pPr>
        <w:rPr>
          <w:rFonts w:hint="eastAsia" w:ascii="MiSans" w:hAnsi="MiSans" w:eastAsia="MiSans" w:cs="MiSans"/>
        </w:rPr>
      </w:pPr>
    </w:p>
    <w:p w14:paraId="4B393C42">
      <w:pPr>
        <w:pStyle w:val="3"/>
        <w:keepNext w:val="0"/>
        <w:keepLines w:val="0"/>
        <w:widowControl/>
        <w:suppressLineNumbers w:val="0"/>
      </w:pPr>
      <w:r>
        <w:t>1. Rd-03L_V2 Appearance and Pin Description</w:t>
      </w:r>
    </w:p>
    <w:p w14:paraId="5B24CBDB">
      <w:pPr>
        <w:pStyle w:val="4"/>
        <w:keepNext w:val="0"/>
        <w:keepLines w:val="0"/>
        <w:widowControl/>
        <w:suppressLineNumbers w:val="0"/>
      </w:pPr>
      <w:r>
        <w:t>1.1 Appearance Display</w:t>
      </w:r>
    </w:p>
    <w:p w14:paraId="55DFA82F">
      <w:pPr>
        <w:rPr>
          <w:rFonts w:hint="eastAsia" w:ascii="MiSans" w:hAnsi="MiSans" w:eastAsia="MiSans" w:cs="MiSans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451860" cy="2772410"/>
            <wp:effectExtent l="0" t="0" r="15240" b="889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2772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14F022">
      <w:pPr>
        <w:pStyle w:val="4"/>
        <w:keepNext w:val="0"/>
        <w:keepLines w:val="0"/>
        <w:widowControl/>
        <w:suppressLineNumbers w:val="0"/>
      </w:pPr>
      <w:r>
        <w:t>1.2 Pin Description</w:t>
      </w:r>
    </w:p>
    <w:p w14:paraId="68E0DD05">
      <w:pPr>
        <w:pStyle w:val="6"/>
        <w:keepNext w:val="0"/>
        <w:keepLines w:val="0"/>
        <w:widowControl/>
        <w:suppressLineNumbers w:val="0"/>
        <w:ind w:left="720" w:right="720"/>
        <w:rPr>
          <w:highlight w:val="yellow"/>
        </w:rPr>
      </w:pPr>
      <w:r>
        <w:rPr>
          <w:rFonts w:hint="eastAsia" w:ascii="宋体" w:hAnsi="宋体" w:eastAsia="宋体" w:cs="宋体"/>
          <w:sz w:val="24"/>
          <w:szCs w:val="24"/>
          <w:highlight w:val="yellow"/>
        </w:rPr>
        <w:t xml:space="preserve">⚠️ </w:t>
      </w:r>
      <w:r>
        <w:rPr>
          <w:rStyle w:val="9"/>
          <w:rFonts w:hint="eastAsia" w:ascii="宋体" w:hAnsi="宋体" w:eastAsia="宋体" w:cs="宋体"/>
          <w:sz w:val="24"/>
          <w:szCs w:val="24"/>
          <w:highlight w:val="yellow"/>
        </w:rPr>
        <w:t>Note</w:t>
      </w:r>
      <w:r>
        <w:rPr>
          <w:rFonts w:hint="eastAsia" w:ascii="宋体" w:hAnsi="宋体" w:eastAsia="宋体" w:cs="宋体"/>
          <w:sz w:val="24"/>
          <w:szCs w:val="24"/>
          <w:highlight w:val="yellow"/>
        </w:rPr>
        <w:t>: The debugging interface and programming interface cannot be used simultaneously.</w:t>
      </w:r>
    </w:p>
    <w:p w14:paraId="28ACC609">
      <w:pPr>
        <w:pStyle w:val="5"/>
        <w:keepNext w:val="0"/>
        <w:keepLines w:val="0"/>
        <w:widowControl/>
        <w:suppressLineNumbers w:val="0"/>
      </w:pPr>
      <w:r>
        <w:t>Debugging Interface (TTL-USB Debugger)</w:t>
      </w:r>
    </w:p>
    <w:tbl>
      <w:tblPr>
        <w:tblW w:w="10718" w:type="dxa"/>
        <w:tblCellSpacing w:w="15" w:type="dxa"/>
        <w:tblInd w:w="-114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37"/>
        <w:gridCol w:w="1022"/>
        <w:gridCol w:w="5496"/>
        <w:gridCol w:w="2863"/>
      </w:tblGrid>
      <w:tr w14:paraId="3777CC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2" w:hRule="atLeast"/>
          <w:tblHeader/>
          <w:tblCellSpacing w:w="15" w:type="dxa"/>
        </w:trPr>
        <w:tc>
          <w:tcPr>
            <w:tcW w:w="1292" w:type="dxa"/>
            <w:shd w:val="clear"/>
            <w:vAlign w:val="center"/>
          </w:tcPr>
          <w:p w14:paraId="5D220E92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J2-Pin#</w:t>
            </w:r>
          </w:p>
        </w:tc>
        <w:tc>
          <w:tcPr>
            <w:tcW w:w="992" w:type="dxa"/>
            <w:shd w:val="clear"/>
            <w:vAlign w:val="center"/>
          </w:tcPr>
          <w:p w14:paraId="35FA3909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5466" w:type="dxa"/>
            <w:shd w:val="clear"/>
            <w:vAlign w:val="center"/>
          </w:tcPr>
          <w:p w14:paraId="54507F39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Function</w:t>
            </w:r>
          </w:p>
        </w:tc>
        <w:tc>
          <w:tcPr>
            <w:tcW w:w="2818" w:type="dxa"/>
            <w:shd w:val="clear"/>
            <w:vAlign w:val="center"/>
          </w:tcPr>
          <w:p w14:paraId="7ECBFA32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22D83B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292" w:type="dxa"/>
            <w:shd w:val="clear"/>
            <w:vAlign w:val="center"/>
          </w:tcPr>
          <w:p w14:paraId="02FF1285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J2-Pin5</w:t>
            </w:r>
          </w:p>
        </w:tc>
        <w:tc>
          <w:tcPr>
            <w:tcW w:w="992" w:type="dxa"/>
            <w:shd w:val="clear"/>
            <w:vAlign w:val="center"/>
          </w:tcPr>
          <w:p w14:paraId="78B40E1C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OUT</w:t>
            </w:r>
          </w:p>
        </w:tc>
        <w:tc>
          <w:tcPr>
            <w:tcW w:w="5466" w:type="dxa"/>
            <w:shd w:val="clear"/>
            <w:vAlign w:val="center"/>
          </w:tcPr>
          <w:p w14:paraId="591B4E54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IO, reports detection status; high level = presence, low level = absence</w:t>
            </w:r>
          </w:p>
        </w:tc>
        <w:tc>
          <w:tcPr>
            <w:tcW w:w="2818" w:type="dxa"/>
            <w:shd w:val="clear"/>
            <w:vAlign w:val="center"/>
          </w:tcPr>
          <w:p w14:paraId="6F007B97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0~3.3V</w:t>
            </w:r>
          </w:p>
        </w:tc>
      </w:tr>
      <w:tr w14:paraId="55B914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292" w:type="dxa"/>
            <w:shd w:val="clear"/>
            <w:vAlign w:val="center"/>
          </w:tcPr>
          <w:p w14:paraId="03DA9140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J2-Pin4</w:t>
            </w:r>
          </w:p>
        </w:tc>
        <w:tc>
          <w:tcPr>
            <w:tcW w:w="992" w:type="dxa"/>
            <w:shd w:val="clear"/>
            <w:vAlign w:val="center"/>
          </w:tcPr>
          <w:p w14:paraId="41F29E97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RX</w:t>
            </w:r>
          </w:p>
        </w:tc>
        <w:tc>
          <w:tcPr>
            <w:tcW w:w="5466" w:type="dxa"/>
            <w:shd w:val="clear"/>
            <w:vAlign w:val="center"/>
          </w:tcPr>
          <w:p w14:paraId="7304AAB0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UART_RX</w:t>
            </w:r>
          </w:p>
        </w:tc>
        <w:tc>
          <w:tcPr>
            <w:tcW w:w="2818" w:type="dxa"/>
            <w:shd w:val="clear"/>
            <w:vAlign w:val="center"/>
          </w:tcPr>
          <w:p w14:paraId="5AD6EDBE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0~3.3V</w:t>
            </w:r>
          </w:p>
        </w:tc>
      </w:tr>
      <w:tr w14:paraId="768D3F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292" w:type="dxa"/>
            <w:shd w:val="clear"/>
            <w:vAlign w:val="center"/>
          </w:tcPr>
          <w:p w14:paraId="0050E783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J2-Pin3</w:t>
            </w:r>
          </w:p>
        </w:tc>
        <w:tc>
          <w:tcPr>
            <w:tcW w:w="992" w:type="dxa"/>
            <w:shd w:val="clear"/>
            <w:vAlign w:val="center"/>
          </w:tcPr>
          <w:p w14:paraId="4769A096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TX</w:t>
            </w:r>
          </w:p>
        </w:tc>
        <w:tc>
          <w:tcPr>
            <w:tcW w:w="5466" w:type="dxa"/>
            <w:shd w:val="clear"/>
            <w:vAlign w:val="center"/>
          </w:tcPr>
          <w:p w14:paraId="46FDC2AC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UART_TX</w:t>
            </w:r>
          </w:p>
        </w:tc>
        <w:tc>
          <w:tcPr>
            <w:tcW w:w="2818" w:type="dxa"/>
            <w:shd w:val="clear"/>
            <w:vAlign w:val="center"/>
          </w:tcPr>
          <w:p w14:paraId="683C3F42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0~3.3V</w:t>
            </w:r>
          </w:p>
        </w:tc>
      </w:tr>
      <w:tr w14:paraId="58B33F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292" w:type="dxa"/>
            <w:shd w:val="clear"/>
            <w:vAlign w:val="center"/>
          </w:tcPr>
          <w:p w14:paraId="7515B304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J2-Pin2</w:t>
            </w:r>
          </w:p>
        </w:tc>
        <w:tc>
          <w:tcPr>
            <w:tcW w:w="992" w:type="dxa"/>
            <w:shd w:val="clear"/>
            <w:vAlign w:val="center"/>
          </w:tcPr>
          <w:p w14:paraId="6EF1161F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GND</w:t>
            </w:r>
          </w:p>
        </w:tc>
        <w:tc>
          <w:tcPr>
            <w:tcW w:w="5466" w:type="dxa"/>
            <w:shd w:val="clear"/>
            <w:vAlign w:val="center"/>
          </w:tcPr>
          <w:p w14:paraId="4F022FCC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Ground</w:t>
            </w:r>
          </w:p>
        </w:tc>
        <w:tc>
          <w:tcPr>
            <w:tcW w:w="2818" w:type="dxa"/>
            <w:shd w:val="clear"/>
            <w:vAlign w:val="center"/>
          </w:tcPr>
          <w:p w14:paraId="67DC28CF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</w:tr>
      <w:tr w14:paraId="5AC22B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292" w:type="dxa"/>
            <w:shd w:val="clear"/>
            <w:vAlign w:val="center"/>
          </w:tcPr>
          <w:p w14:paraId="737F6BBE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J2-Pin1</w:t>
            </w:r>
          </w:p>
        </w:tc>
        <w:tc>
          <w:tcPr>
            <w:tcW w:w="992" w:type="dxa"/>
            <w:shd w:val="clear"/>
            <w:vAlign w:val="center"/>
          </w:tcPr>
          <w:p w14:paraId="3DD4FA6D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3V3</w:t>
            </w:r>
          </w:p>
        </w:tc>
        <w:tc>
          <w:tcPr>
            <w:tcW w:w="5466" w:type="dxa"/>
            <w:shd w:val="clear"/>
            <w:vAlign w:val="center"/>
          </w:tcPr>
          <w:p w14:paraId="6A8E1F9A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Power Input</w:t>
            </w:r>
          </w:p>
        </w:tc>
        <w:tc>
          <w:tcPr>
            <w:tcW w:w="2818" w:type="dxa"/>
            <w:shd w:val="clear"/>
            <w:vAlign w:val="center"/>
          </w:tcPr>
          <w:p w14:paraId="1A186079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3.0~3.6V, Typ. 3.3V</w:t>
            </w:r>
          </w:p>
        </w:tc>
      </w:tr>
    </w:tbl>
    <w:p w14:paraId="7B016009">
      <w:pPr>
        <w:pStyle w:val="5"/>
        <w:keepNext w:val="0"/>
        <w:keepLines w:val="0"/>
        <w:widowControl/>
        <w:suppressLineNumbers w:val="0"/>
      </w:pPr>
      <w:r>
        <w:t>Programming Interface (J-Link Debugger)</w:t>
      </w:r>
    </w:p>
    <w:tbl>
      <w:tblPr>
        <w:tblW w:w="10663" w:type="dxa"/>
        <w:tblCellSpacing w:w="15" w:type="dxa"/>
        <w:tblInd w:w="-112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36"/>
        <w:gridCol w:w="1623"/>
        <w:gridCol w:w="4841"/>
        <w:gridCol w:w="2863"/>
      </w:tblGrid>
      <w:tr w14:paraId="53B41C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1291" w:type="dxa"/>
            <w:shd w:val="clear"/>
            <w:vAlign w:val="center"/>
          </w:tcPr>
          <w:p w14:paraId="3844E24C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J1-Pin#</w:t>
            </w:r>
          </w:p>
        </w:tc>
        <w:tc>
          <w:tcPr>
            <w:tcW w:w="1593" w:type="dxa"/>
            <w:shd w:val="clear"/>
            <w:vAlign w:val="center"/>
          </w:tcPr>
          <w:p w14:paraId="47FF7EE6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4811" w:type="dxa"/>
            <w:shd w:val="clear"/>
            <w:vAlign w:val="center"/>
          </w:tcPr>
          <w:p w14:paraId="0DC6B1F0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Function</w:t>
            </w:r>
          </w:p>
        </w:tc>
        <w:tc>
          <w:tcPr>
            <w:tcW w:w="2818" w:type="dxa"/>
            <w:shd w:val="clear"/>
            <w:vAlign w:val="center"/>
          </w:tcPr>
          <w:p w14:paraId="5C0B302D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3D8BCC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291" w:type="dxa"/>
            <w:shd w:val="clear"/>
            <w:vAlign w:val="center"/>
          </w:tcPr>
          <w:p w14:paraId="4BBCEEAC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J1-Pin4</w:t>
            </w:r>
          </w:p>
        </w:tc>
        <w:tc>
          <w:tcPr>
            <w:tcW w:w="1593" w:type="dxa"/>
            <w:shd w:val="clear"/>
            <w:vAlign w:val="center"/>
          </w:tcPr>
          <w:p w14:paraId="1BD3B0EB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3V3</w:t>
            </w:r>
          </w:p>
        </w:tc>
        <w:tc>
          <w:tcPr>
            <w:tcW w:w="4811" w:type="dxa"/>
            <w:shd w:val="clear"/>
            <w:vAlign w:val="center"/>
          </w:tcPr>
          <w:p w14:paraId="4FEDA725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Power Input</w:t>
            </w:r>
          </w:p>
        </w:tc>
        <w:tc>
          <w:tcPr>
            <w:tcW w:w="2818" w:type="dxa"/>
            <w:shd w:val="clear"/>
            <w:vAlign w:val="center"/>
          </w:tcPr>
          <w:p w14:paraId="56817B1F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3.0~3.6V, Typ. 3.3V</w:t>
            </w:r>
          </w:p>
        </w:tc>
      </w:tr>
      <w:tr w14:paraId="424DF1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291" w:type="dxa"/>
            <w:shd w:val="clear"/>
            <w:vAlign w:val="center"/>
          </w:tcPr>
          <w:p w14:paraId="2B1C57F8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J1-Pin3</w:t>
            </w:r>
          </w:p>
        </w:tc>
        <w:tc>
          <w:tcPr>
            <w:tcW w:w="1593" w:type="dxa"/>
            <w:shd w:val="clear"/>
            <w:vAlign w:val="center"/>
          </w:tcPr>
          <w:p w14:paraId="7592B270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CLK</w:t>
            </w:r>
          </w:p>
        </w:tc>
        <w:tc>
          <w:tcPr>
            <w:tcW w:w="4811" w:type="dxa"/>
            <w:shd w:val="clear"/>
            <w:vAlign w:val="center"/>
          </w:tcPr>
          <w:p w14:paraId="1193C89D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SWD Clock Line</w:t>
            </w:r>
          </w:p>
        </w:tc>
        <w:tc>
          <w:tcPr>
            <w:tcW w:w="2818" w:type="dxa"/>
            <w:shd w:val="clear"/>
            <w:vAlign w:val="center"/>
          </w:tcPr>
          <w:p w14:paraId="6F069237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0~3.3V</w:t>
            </w:r>
          </w:p>
        </w:tc>
      </w:tr>
      <w:tr w14:paraId="7CC3C0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291" w:type="dxa"/>
            <w:shd w:val="clear"/>
            <w:vAlign w:val="center"/>
          </w:tcPr>
          <w:p w14:paraId="0CA6C28E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J1-Pin2</w:t>
            </w:r>
          </w:p>
        </w:tc>
        <w:tc>
          <w:tcPr>
            <w:tcW w:w="1593" w:type="dxa"/>
            <w:shd w:val="clear"/>
            <w:vAlign w:val="center"/>
          </w:tcPr>
          <w:p w14:paraId="5AE311CC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DIO</w:t>
            </w:r>
          </w:p>
        </w:tc>
        <w:tc>
          <w:tcPr>
            <w:tcW w:w="4811" w:type="dxa"/>
            <w:shd w:val="clear"/>
            <w:vAlign w:val="center"/>
          </w:tcPr>
          <w:p w14:paraId="22FA4258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SWD Data Line</w:t>
            </w:r>
          </w:p>
        </w:tc>
        <w:tc>
          <w:tcPr>
            <w:tcW w:w="2818" w:type="dxa"/>
            <w:shd w:val="clear"/>
            <w:vAlign w:val="center"/>
          </w:tcPr>
          <w:p w14:paraId="2071085A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0~3.3V</w:t>
            </w:r>
          </w:p>
        </w:tc>
      </w:tr>
      <w:tr w14:paraId="5E52E1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291" w:type="dxa"/>
            <w:shd w:val="clear"/>
            <w:vAlign w:val="center"/>
          </w:tcPr>
          <w:p w14:paraId="695AE8C6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J1-Pin1</w:t>
            </w:r>
          </w:p>
        </w:tc>
        <w:tc>
          <w:tcPr>
            <w:tcW w:w="1593" w:type="dxa"/>
            <w:shd w:val="clear"/>
            <w:vAlign w:val="center"/>
          </w:tcPr>
          <w:p w14:paraId="1A80174E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GND</w:t>
            </w:r>
          </w:p>
        </w:tc>
        <w:tc>
          <w:tcPr>
            <w:tcW w:w="4811" w:type="dxa"/>
            <w:shd w:val="clear"/>
            <w:vAlign w:val="center"/>
          </w:tcPr>
          <w:p w14:paraId="3FD47F93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Ground</w:t>
            </w:r>
          </w:p>
        </w:tc>
        <w:tc>
          <w:tcPr>
            <w:tcW w:w="2818" w:type="dxa"/>
            <w:shd w:val="clear"/>
            <w:vAlign w:val="center"/>
          </w:tcPr>
          <w:p w14:paraId="1648DBAB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</w:tr>
    </w:tbl>
    <w:p w14:paraId="62B67BB3">
      <w:pPr>
        <w:pStyle w:val="3"/>
        <w:keepNext w:val="0"/>
        <w:keepLines w:val="0"/>
        <w:widowControl/>
        <w:suppressLineNumbers w:val="0"/>
      </w:pPr>
      <w:r>
        <w:t>2. Rd-03L_V2 Operating Steps</w:t>
      </w:r>
    </w:p>
    <w:p w14:paraId="01A5D842">
      <w:pPr>
        <w:pStyle w:val="4"/>
        <w:keepNext w:val="0"/>
        <w:keepLines w:val="0"/>
        <w:widowControl/>
        <w:suppressLineNumbers w:val="0"/>
      </w:pPr>
      <w:r>
        <w:t>2.1 Download PC Software and Related Materials</w:t>
      </w:r>
    </w:p>
    <w:p w14:paraId="6BB7D42A">
      <w:pPr>
        <w:pStyle w:val="6"/>
        <w:keepNext w:val="0"/>
        <w:keepLines w:val="0"/>
        <w:widowControl/>
        <w:suppressLineNumbers w:val="0"/>
        <w:rPr>
          <w:rFonts w:hint="eastAsia" w:ascii="MiSans" w:hAnsi="MiSans" w:eastAsia="MiSans" w:cs="MiSans"/>
        </w:rPr>
      </w:pPr>
      <w:r>
        <w:t xml:space="preserve">Download link: </w:t>
      </w:r>
      <w:r>
        <w:fldChar w:fldCharType="begin"/>
      </w:r>
      <w:r>
        <w:instrText xml:space="preserve"> HYPERLINK "https://docs.ai-thinker.com/_media/icl_xend106ltool_v1.3.3.2.zip" </w:instrText>
      </w:r>
      <w:r>
        <w:fldChar w:fldCharType="separate"/>
      </w:r>
      <w:r>
        <w:rPr>
          <w:rStyle w:val="10"/>
        </w:rPr>
        <w:t>Click to download</w:t>
      </w:r>
      <w:r>
        <w:fldChar w:fldCharType="end"/>
      </w:r>
    </w:p>
    <w:p w14:paraId="4AC093AF">
      <w:pPr>
        <w:rPr>
          <w:rFonts w:hint="eastAsia" w:ascii="MiSans" w:hAnsi="MiSans" w:eastAsia="MiSans" w:cs="MiSans"/>
        </w:rPr>
      </w:pPr>
      <w:r>
        <w:rPr>
          <w:rFonts w:ascii="宋体" w:hAnsi="宋体" w:eastAsia="宋体" w:cs="宋体"/>
          <w:sz w:val="24"/>
          <w:szCs w:val="24"/>
        </w:rPr>
        <w:t xml:space="preserve">Or visit the Ai-Thinker docs page for more resources on Rd-03L_V2: </w:t>
      </w:r>
      <w:r>
        <w:rPr>
          <w:rStyle w:val="9"/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Style w:val="9"/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"https://docs.ai-thinker.com/_media/21090017-rd-03l_v2specification_en_20250425.pdf" </w:instrText>
      </w:r>
      <w:r>
        <w:rPr>
          <w:rStyle w:val="9"/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Style w:val="10"/>
          <w:rFonts w:hint="eastAsia" w:ascii="宋体" w:hAnsi="宋体" w:eastAsia="宋体" w:cs="宋体"/>
          <w:b/>
          <w:sz w:val="24"/>
          <w:szCs w:val="24"/>
          <w:lang w:val="en-US" w:eastAsia="zh-CN"/>
        </w:rPr>
        <w:t>Rd-03 Series</w:t>
      </w:r>
      <w:r>
        <w:rPr>
          <w:rStyle w:val="9"/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</w:p>
    <w:p w14:paraId="5C38B5F8">
      <w:pPr>
        <w:rPr>
          <w:rFonts w:hint="eastAsia" w:ascii="MiSans" w:hAnsi="MiSans" w:eastAsia="MiSans" w:cs="MiSans"/>
        </w:rPr>
      </w:pPr>
    </w:p>
    <w:p w14:paraId="5CD85AC8">
      <w:pPr>
        <w:rPr>
          <w:rFonts w:hint="eastAsia" w:ascii="MiSans" w:hAnsi="MiSans" w:eastAsia="MiSans" w:cs="MiSans"/>
        </w:rPr>
      </w:pPr>
    </w:p>
    <w:p w14:paraId="1AF54378">
      <w:pPr>
        <w:rPr>
          <w:rFonts w:hint="eastAsia" w:ascii="MiSans" w:hAnsi="MiSans" w:eastAsia="MiSans" w:cs="MiSans"/>
        </w:rPr>
      </w:pPr>
    </w:p>
    <w:p w14:paraId="7B242829">
      <w:pPr>
        <w:rPr>
          <w:rFonts w:hint="eastAsia" w:ascii="MiSans" w:hAnsi="MiSans" w:eastAsia="MiSans" w:cs="MiSans"/>
        </w:rPr>
      </w:pPr>
    </w:p>
    <w:p w14:paraId="38DBFDC5">
      <w:pPr>
        <w:pStyle w:val="4"/>
        <w:keepNext w:val="0"/>
        <w:keepLines w:val="0"/>
        <w:widowControl/>
        <w:suppressLineNumbers w:val="0"/>
      </w:pPr>
      <w:r>
        <w:t>2.2 Module Wiring</w:t>
      </w:r>
    </w:p>
    <w:tbl>
      <w:tblPr>
        <w:tblW w:w="10622" w:type="dxa"/>
        <w:tblCellSpacing w:w="15" w:type="dxa"/>
        <w:tblInd w:w="-112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136"/>
        <w:gridCol w:w="7486"/>
      </w:tblGrid>
      <w:tr w14:paraId="35BEBB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3091" w:type="dxa"/>
            <w:shd w:val="clear"/>
            <w:vAlign w:val="center"/>
          </w:tcPr>
          <w:p w14:paraId="11E835E9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Rd-03L_V2 Module</w:t>
            </w:r>
          </w:p>
        </w:tc>
        <w:tc>
          <w:tcPr>
            <w:tcW w:w="7441" w:type="dxa"/>
            <w:shd w:val="clear"/>
            <w:vAlign w:val="center"/>
          </w:tcPr>
          <w:p w14:paraId="6A6BAED2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USB to TTL Converter</w:t>
            </w:r>
          </w:p>
        </w:tc>
      </w:tr>
      <w:tr w14:paraId="55DD3F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3091" w:type="dxa"/>
            <w:shd w:val="clear"/>
            <w:vAlign w:val="center"/>
          </w:tcPr>
          <w:p w14:paraId="1AF8A383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3V3</w:t>
            </w:r>
          </w:p>
        </w:tc>
        <w:tc>
          <w:tcPr>
            <w:tcW w:w="7441" w:type="dxa"/>
            <w:shd w:val="clear"/>
            <w:vAlign w:val="center"/>
          </w:tcPr>
          <w:p w14:paraId="3E20A50F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Vo (3V3)</w:t>
            </w:r>
          </w:p>
        </w:tc>
      </w:tr>
      <w:tr w14:paraId="161234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3091" w:type="dxa"/>
            <w:shd w:val="clear"/>
            <w:vAlign w:val="center"/>
          </w:tcPr>
          <w:p w14:paraId="342FE8F8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GND</w:t>
            </w:r>
          </w:p>
        </w:tc>
        <w:tc>
          <w:tcPr>
            <w:tcW w:w="7441" w:type="dxa"/>
            <w:shd w:val="clear"/>
            <w:vAlign w:val="center"/>
          </w:tcPr>
          <w:p w14:paraId="1DF0A0D0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GND</w:t>
            </w:r>
          </w:p>
        </w:tc>
      </w:tr>
      <w:tr w14:paraId="2E71FD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3091" w:type="dxa"/>
            <w:shd w:val="clear"/>
            <w:vAlign w:val="center"/>
          </w:tcPr>
          <w:p w14:paraId="6080B33D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TX</w:t>
            </w:r>
          </w:p>
        </w:tc>
        <w:tc>
          <w:tcPr>
            <w:tcW w:w="7441" w:type="dxa"/>
            <w:shd w:val="clear"/>
            <w:vAlign w:val="center"/>
          </w:tcPr>
          <w:p w14:paraId="4F257E69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RXD</w:t>
            </w:r>
          </w:p>
        </w:tc>
      </w:tr>
      <w:tr w14:paraId="4A26B5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3091" w:type="dxa"/>
            <w:shd w:val="clear"/>
            <w:vAlign w:val="center"/>
          </w:tcPr>
          <w:p w14:paraId="43915FB0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RX</w:t>
            </w:r>
          </w:p>
        </w:tc>
        <w:tc>
          <w:tcPr>
            <w:tcW w:w="7441" w:type="dxa"/>
            <w:shd w:val="clear"/>
            <w:vAlign w:val="center"/>
          </w:tcPr>
          <w:p w14:paraId="60810706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TXD</w:t>
            </w:r>
          </w:p>
        </w:tc>
      </w:tr>
    </w:tbl>
    <w:p w14:paraId="55CE63EC">
      <w:pPr>
        <w:rPr>
          <w:rFonts w:hint="eastAsia" w:ascii="MiSans" w:hAnsi="MiSans" w:eastAsia="MiSans" w:cs="MiSans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331210" cy="4441825"/>
            <wp:effectExtent l="0" t="0" r="2540" b="1587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31210" cy="444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C370D2">
      <w:pPr>
        <w:pStyle w:val="4"/>
        <w:keepNext w:val="0"/>
        <w:keepLines w:val="0"/>
        <w:widowControl/>
        <w:suppressLineNumbers w:val="0"/>
      </w:pPr>
      <w:r>
        <w:t>2.3 Module Installation</w:t>
      </w:r>
    </w:p>
    <w:p w14:paraId="46DD1FA9">
      <w:pPr>
        <w:pStyle w:val="6"/>
        <w:keepNext w:val="0"/>
        <w:keepLines w:val="0"/>
        <w:widowControl/>
        <w:suppressLineNumbers w:val="0"/>
      </w:pPr>
      <w:r>
        <w:t xml:space="preserve">The Rd-03L_V2 radar module is designed for wall-mounted installation at a height of </w:t>
      </w:r>
      <w:r>
        <w:rPr>
          <w:rStyle w:val="9"/>
        </w:rPr>
        <w:t>1.5–2m</w:t>
      </w:r>
      <w:r>
        <w:t>. The installation orientation is shown below:</w:t>
      </w:r>
    </w:p>
    <w:p w14:paraId="22CDC5D8">
      <w:pPr>
        <w:pStyle w:val="6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</w:pPr>
      <w:r>
        <w:rPr>
          <w:rStyle w:val="9"/>
        </w:rPr>
        <w:t>X-axis: 0°</w:t>
      </w:r>
      <w:r>
        <w:t>,</w:t>
      </w:r>
    </w:p>
    <w:p w14:paraId="7088E3A0">
      <w:pPr>
        <w:pStyle w:val="6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</w:pPr>
      <w:r>
        <w:rPr>
          <w:rStyle w:val="9"/>
        </w:rPr>
        <w:t>Z-axis: 90°</w:t>
      </w:r>
      <w:r>
        <w:t>,</w:t>
      </w:r>
    </w:p>
    <w:p w14:paraId="1EFC6811">
      <w:pPr>
        <w:pStyle w:val="6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</w:pPr>
      <w:r>
        <w:rPr>
          <w:rStyle w:val="9"/>
        </w:rPr>
        <w:t>Y-axis</w:t>
      </w:r>
      <w:r>
        <w:t xml:space="preserve"> is perpendicular to the X-Z plane (normal direction).</w:t>
      </w:r>
    </w:p>
    <w:p w14:paraId="41EFE164">
      <w:pPr>
        <w:rPr>
          <w:rFonts w:hint="eastAsia" w:ascii="MiSans" w:hAnsi="MiSans" w:eastAsia="MiSans" w:cs="MiSans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132455" cy="2228215"/>
            <wp:effectExtent l="0" t="0" r="10795" b="63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2228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CC7F52">
      <w:pPr>
        <w:pStyle w:val="6"/>
        <w:keepNext w:val="0"/>
        <w:keepLines w:val="0"/>
        <w:widowControl/>
        <w:suppressLineNumbers w:val="0"/>
      </w:pPr>
      <w:r>
        <w:t xml:space="preserve">When wall-mounted at 1.5m, the default detection range is a conical space with a </w:t>
      </w:r>
      <w:r>
        <w:rPr>
          <w:rStyle w:val="9"/>
        </w:rPr>
        <w:t>6m distance in the normal direction</w:t>
      </w:r>
      <w:r>
        <w:t xml:space="preserve"> and </w:t>
      </w:r>
      <w:r>
        <w:rPr>
          <w:rStyle w:val="9"/>
        </w:rPr>
        <w:t>±60° angle in the horizontal and pitch directions</w:t>
      </w:r>
      <w:r>
        <w:t>.</w:t>
      </w:r>
    </w:p>
    <w:p w14:paraId="0A51B5A6">
      <w:pPr>
        <w:rPr>
          <w:rFonts w:hint="eastAsia" w:ascii="MiSans" w:hAnsi="MiSans" w:eastAsia="MiSans" w:cs="MiSans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9865" cy="2305685"/>
            <wp:effectExtent l="0" t="0" r="6985" b="1841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015EB8">
      <w:pPr>
        <w:rPr>
          <w:rFonts w:hint="eastAsia" w:ascii="MiSans" w:hAnsi="MiSans" w:eastAsia="MiSans" w:cs="MiSans"/>
        </w:rPr>
      </w:pPr>
    </w:p>
    <w:p w14:paraId="285FE014">
      <w:pPr>
        <w:rPr>
          <w:rFonts w:hint="eastAsia" w:ascii="MiSans" w:hAnsi="MiSans" w:eastAsia="MiSans" w:cs="MiSans"/>
        </w:rPr>
      </w:pPr>
    </w:p>
    <w:p w14:paraId="0AB457A1">
      <w:pPr>
        <w:pStyle w:val="4"/>
        <w:keepNext w:val="0"/>
        <w:keepLines w:val="0"/>
        <w:widowControl/>
        <w:suppressLineNumbers w:val="0"/>
      </w:pPr>
      <w:r>
        <w:t>2.4 Quick Setup via PC Software</w:t>
      </w:r>
    </w:p>
    <w:p w14:paraId="120E87DC">
      <w:pPr>
        <w:pStyle w:val="6"/>
        <w:keepNext w:val="0"/>
        <w:keepLines w:val="0"/>
        <w:widowControl/>
        <w:suppressLineNumbers w:val="0"/>
        <w:rPr>
          <w:rFonts w:hint="eastAsia" w:ascii="MiSans" w:hAnsi="MiSans" w:eastAsia="MiSans" w:cs="MiSans"/>
          <w:highlight w:val="yellow"/>
        </w:rPr>
      </w:pPr>
      <w:r>
        <w:rPr>
          <w:rStyle w:val="9"/>
          <w:highlight w:val="yellow"/>
        </w:rPr>
        <w:t>Note</w:t>
      </w:r>
      <w:r>
        <w:rPr>
          <w:highlight w:val="yellow"/>
        </w:rPr>
        <w:t>: The Rd-03L_V2 PC software and serial port tool cannot be used simultaneously.</w:t>
      </w:r>
    </w:p>
    <w:p w14:paraId="1686F8B5">
      <w:pPr>
        <w:pStyle w:val="6"/>
        <w:keepNext w:val="0"/>
        <w:keepLines w:val="0"/>
        <w:widowControl/>
        <w:suppressLineNumbers w:val="0"/>
      </w:pPr>
      <w:r>
        <w:t>After completing wiring (Step 2) and proper installation (Step 3), open the PC software:</w:t>
      </w:r>
    </w:p>
    <w:p w14:paraId="32EBB9F8">
      <w:pPr>
        <w:pStyle w:val="6"/>
        <w:keepNext w:val="0"/>
        <w:keepLines w:val="0"/>
        <w:widowControl/>
        <w:numPr>
          <w:ilvl w:val="0"/>
          <w:numId w:val="2"/>
        </w:numPr>
        <w:suppressLineNumbers w:val="0"/>
        <w:ind w:left="425" w:leftChars="0" w:hanging="425" w:firstLineChars="0"/>
      </w:pPr>
      <w:r>
        <w:t>Refresh the port list (bottom left corner);</w:t>
      </w:r>
    </w:p>
    <w:p w14:paraId="3B608177">
      <w:pPr>
        <w:pStyle w:val="6"/>
        <w:keepNext w:val="0"/>
        <w:keepLines w:val="0"/>
        <w:widowControl/>
        <w:numPr>
          <w:ilvl w:val="0"/>
          <w:numId w:val="2"/>
        </w:numPr>
        <w:suppressLineNumbers w:val="0"/>
        <w:ind w:left="425" w:leftChars="0" w:hanging="425" w:firstLineChars="0"/>
      </w:pPr>
      <w:r>
        <w:t>Select the correct COM port;</w:t>
      </w:r>
    </w:p>
    <w:p w14:paraId="5F72D972">
      <w:pPr>
        <w:pStyle w:val="6"/>
        <w:keepNext w:val="0"/>
        <w:keepLines w:val="0"/>
        <w:widowControl/>
        <w:numPr>
          <w:ilvl w:val="0"/>
          <w:numId w:val="2"/>
        </w:numPr>
        <w:suppressLineNumbers w:val="0"/>
        <w:ind w:left="425" w:leftChars="0" w:hanging="425" w:firstLineChars="0"/>
      </w:pPr>
      <w:r>
        <w:t xml:space="preserve">Set baud rate to </w:t>
      </w:r>
      <w:r>
        <w:rPr>
          <w:rStyle w:val="9"/>
        </w:rPr>
        <w:t>256000 bps</w:t>
      </w:r>
      <w:r>
        <w:t>;</w:t>
      </w:r>
    </w:p>
    <w:p w14:paraId="69B99F3B">
      <w:pPr>
        <w:pStyle w:val="6"/>
        <w:keepNext w:val="0"/>
        <w:keepLines w:val="0"/>
        <w:widowControl/>
        <w:numPr>
          <w:ilvl w:val="0"/>
          <w:numId w:val="2"/>
        </w:numPr>
        <w:suppressLineNumbers w:val="0"/>
        <w:ind w:left="425" w:leftChars="0" w:hanging="425" w:firstLineChars="0"/>
      </w:pPr>
      <w:r>
        <w:t xml:space="preserve">Click </w:t>
      </w:r>
      <w:r>
        <w:rPr>
          <w:rStyle w:val="9"/>
        </w:rPr>
        <w:t>Connect Device</w:t>
      </w:r>
      <w:r>
        <w:t>.</w:t>
      </w:r>
    </w:p>
    <w:p w14:paraId="0E945A98">
      <w:pPr>
        <w:pStyle w:val="6"/>
        <w:keepNext w:val="0"/>
        <w:keepLines w:val="0"/>
        <w:widowControl/>
        <w:suppressLineNumbers w:val="0"/>
      </w:pPr>
      <w:r>
        <w:t xml:space="preserve">After successful connection, click </w:t>
      </w:r>
      <w:r>
        <w:rPr>
          <w:rStyle w:val="9"/>
        </w:rPr>
        <w:t>Auto Threshold Generation</w:t>
      </w:r>
      <w:r>
        <w:t>.</w:t>
      </w:r>
    </w:p>
    <w:p w14:paraId="752F0136">
      <w:pPr>
        <w:pStyle w:val="6"/>
        <w:keepNext w:val="0"/>
        <w:keepLines w:val="0"/>
        <w:widowControl/>
        <w:suppressLineNumbers w:val="0"/>
      </w:pPr>
      <w:r>
        <w:t xml:space="preserve">The radar will scan the environment during this process — </w:t>
      </w:r>
      <w:r>
        <w:rPr>
          <w:rStyle w:val="9"/>
        </w:rPr>
        <w:t>ensure no human presence within the detection area during the 120–240 second scan period</w:t>
      </w:r>
      <w:r>
        <w:t>.</w:t>
      </w:r>
    </w:p>
    <w:p w14:paraId="5F1A2346">
      <w:pPr>
        <w:rPr>
          <w:rFonts w:ascii="宋体" w:hAnsi="宋体" w:eastAsia="宋体" w:cs="宋体"/>
          <w:sz w:val="24"/>
          <w:szCs w:val="24"/>
        </w:rPr>
      </w:pPr>
    </w:p>
    <w:p w14:paraId="3980F80F">
      <w:pPr>
        <w:rPr>
          <w:rFonts w:ascii="宋体" w:hAnsi="宋体" w:eastAsia="宋体" w:cs="宋体"/>
          <w:sz w:val="24"/>
          <w:szCs w:val="24"/>
        </w:rPr>
      </w:pPr>
    </w:p>
    <w:p w14:paraId="534E1FDC">
      <w:pPr>
        <w:rPr>
          <w:rFonts w:hint="eastAsia" w:ascii="MiSans" w:hAnsi="MiSans" w:eastAsia="MiSans" w:cs="MiSans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2405" cy="2929890"/>
            <wp:effectExtent l="0" t="0" r="4445" b="381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29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D04FC5">
      <w:pPr>
        <w:rPr>
          <w:rFonts w:hint="eastAsia" w:ascii="MiSans" w:hAnsi="MiSans" w:eastAsia="MiSans" w:cs="MiSans"/>
        </w:rPr>
      </w:pPr>
    </w:p>
    <w:p w14:paraId="61E4E00A">
      <w:pPr>
        <w:rPr>
          <w:rFonts w:hint="eastAsia" w:ascii="MiSans" w:hAnsi="MiSans" w:eastAsia="MiSans" w:cs="MiSans"/>
        </w:rPr>
      </w:pPr>
    </w:p>
    <w:p w14:paraId="7308F683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After scanning, the thresholds are applied automatically. Close the window to finish.</w:t>
      </w:r>
    </w:p>
    <w:p w14:paraId="6F52A20B">
      <w:pPr>
        <w:rPr>
          <w:rFonts w:hint="eastAsia" w:ascii="MiSans" w:hAnsi="MiSans" w:eastAsia="MiSans" w:cs="MiSans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857625" cy="3324225"/>
            <wp:effectExtent l="0" t="0" r="9525" b="952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66AF42">
      <w:pPr>
        <w:rPr>
          <w:rFonts w:hint="eastAsia" w:ascii="MiSans" w:hAnsi="MiSans" w:eastAsia="MiSans" w:cs="MiSans"/>
        </w:rPr>
      </w:pPr>
    </w:p>
    <w:p w14:paraId="4884A900">
      <w:pPr>
        <w:rPr>
          <w:rFonts w:hint="eastAsia" w:ascii="MiSans" w:hAnsi="MiSans" w:eastAsia="MiSans" w:cs="MiSans"/>
        </w:rPr>
      </w:pPr>
    </w:p>
    <w:p w14:paraId="71FDAAD1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After successful threshold generation, the threshold values for each distance gate will change according to the algorithm.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Style w:val="9"/>
          <w:rFonts w:ascii="宋体" w:hAnsi="宋体" w:eastAsia="宋体" w:cs="宋体"/>
          <w:sz w:val="24"/>
          <w:szCs w:val="24"/>
        </w:rPr>
        <w:t>Note</w:t>
      </w:r>
      <w:r>
        <w:rPr>
          <w:rFonts w:ascii="宋体" w:hAnsi="宋体" w:eastAsia="宋体" w:cs="宋体"/>
          <w:sz w:val="24"/>
          <w:szCs w:val="24"/>
        </w:rPr>
        <w:t xml:space="preserve">: Manually adjust the trigger and hold thresholds of distance gates 00 and 01 to around </w:t>
      </w:r>
      <w:r>
        <w:rPr>
          <w:rStyle w:val="9"/>
          <w:rFonts w:ascii="宋体" w:hAnsi="宋体" w:eastAsia="宋体" w:cs="宋体"/>
          <w:sz w:val="24"/>
          <w:szCs w:val="24"/>
        </w:rPr>
        <w:t>42</w:t>
      </w:r>
      <w:r>
        <w:rPr>
          <w:rFonts w:ascii="宋体" w:hAnsi="宋体" w:eastAsia="宋体" w:cs="宋体"/>
          <w:sz w:val="24"/>
          <w:szCs w:val="24"/>
        </w:rPr>
        <w:t xml:space="preserve"> after auto-generation.</w:t>
      </w:r>
    </w:p>
    <w:p w14:paraId="79BAE102">
      <w:pPr>
        <w:rPr>
          <w:rFonts w:ascii="宋体" w:hAnsi="宋体" w:eastAsia="宋体" w:cs="宋体"/>
          <w:sz w:val="24"/>
          <w:szCs w:val="24"/>
        </w:rPr>
      </w:pPr>
    </w:p>
    <w:p w14:paraId="73885869">
      <w:pPr>
        <w:rPr>
          <w:rFonts w:hint="eastAsia" w:ascii="MiSans" w:hAnsi="MiSans" w:eastAsia="MiSans" w:cs="MiSans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7325" cy="3162300"/>
            <wp:effectExtent l="0" t="0" r="9525" b="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1BC1A6">
      <w:pPr>
        <w:pStyle w:val="6"/>
        <w:keepNext w:val="0"/>
        <w:keepLines w:val="0"/>
        <w:widowControl/>
        <w:suppressLineNumbers w:val="0"/>
      </w:pPr>
      <w:r>
        <w:t xml:space="preserve">Additional settings allow for defining minimum and maximum detection distances (up to </w:t>
      </w:r>
      <w:r>
        <w:rPr>
          <w:rStyle w:val="9"/>
        </w:rPr>
        <w:t>6.3m</w:t>
      </w:r>
      <w:r>
        <w:t>), adjusting reporting frequencies:</w:t>
      </w:r>
    </w:p>
    <w:p w14:paraId="0171268A">
      <w:pPr>
        <w:pStyle w:val="6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</w:pPr>
      <w:r>
        <w:rPr>
          <w:rStyle w:val="9"/>
        </w:rPr>
        <w:t>Distance reporting frequency</w:t>
      </w:r>
      <w:r>
        <w:t>: 1–8Hz (max 8Hz);</w:t>
      </w:r>
    </w:p>
    <w:p w14:paraId="4DB33D16">
      <w:pPr>
        <w:pStyle w:val="6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</w:pPr>
      <w:r>
        <w:rPr>
          <w:rStyle w:val="9"/>
        </w:rPr>
        <w:t>Status reporting frequency</w:t>
      </w:r>
      <w:r>
        <w:t>: multiple of the distance reporting frequency (e.g., if set to 4Hz, status reporting can be 4Hz or 8Hz).</w:t>
      </w:r>
    </w:p>
    <w:p w14:paraId="01E7DEEE">
      <w:pPr>
        <w:pStyle w:val="6"/>
        <w:keepNext w:val="0"/>
        <w:keepLines w:val="0"/>
        <w:widowControl/>
        <w:suppressLineNumbers w:val="0"/>
      </w:pPr>
      <w:r>
        <w:t xml:space="preserve">Response time can be set to </w:t>
      </w:r>
      <w:r>
        <w:rPr>
          <w:rStyle w:val="9"/>
        </w:rPr>
        <w:t>Normal</w:t>
      </w:r>
      <w:r>
        <w:t xml:space="preserve"> or </w:t>
      </w:r>
      <w:r>
        <w:rPr>
          <w:rStyle w:val="9"/>
        </w:rPr>
        <w:t>Fast</w:t>
      </w:r>
      <w:r>
        <w:t xml:space="preserve"> to define the time the sensor reacts when a person enters the detection zone.</w:t>
      </w:r>
      <w:r>
        <w:br w:type="textWrapping"/>
      </w:r>
      <w:r>
        <w:rPr>
          <w:rStyle w:val="9"/>
        </w:rPr>
        <w:t>No-person reporting delay</w:t>
      </w:r>
      <w:r>
        <w:t xml:space="preserve">: adjustable between </w:t>
      </w:r>
      <w:r>
        <w:rPr>
          <w:rStyle w:val="9"/>
        </w:rPr>
        <w:t>10–120 seconds</w:t>
      </w:r>
      <w:r>
        <w:t>, determines the delay before switching status from presence to absence.</w:t>
      </w:r>
    </w:p>
    <w:p w14:paraId="180928F9">
      <w:pPr>
        <w:pStyle w:val="6"/>
        <w:keepNext w:val="0"/>
        <w:keepLines w:val="0"/>
        <w:widowControl/>
        <w:suppressLineNumbers w:val="0"/>
      </w:pPr>
      <w:r>
        <w:t xml:space="preserve">After adjustment, click </w:t>
      </w:r>
      <w:r>
        <w:rPr>
          <w:rStyle w:val="9"/>
        </w:rPr>
        <w:t>Write to Sensor</w:t>
      </w:r>
      <w:r>
        <w:t xml:space="preserve"> to save the settings.</w:t>
      </w:r>
    </w:p>
    <w:p w14:paraId="5E3B4DBC">
      <w:pPr>
        <w:rPr>
          <w:rFonts w:hint="eastAsia" w:ascii="MiSans" w:hAnsi="MiSans" w:eastAsia="MiSans" w:cs="MiSans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9230" cy="3040380"/>
            <wp:effectExtent l="0" t="0" r="7620" b="762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829526">
      <w:pPr>
        <w:rPr>
          <w:rFonts w:hint="eastAsia" w:ascii="MiSans" w:hAnsi="MiSans" w:eastAsia="MiSans" w:cs="MiSans"/>
        </w:rPr>
      </w:pPr>
    </w:p>
    <w:p w14:paraId="2619D91F">
      <w:pPr>
        <w:pStyle w:val="4"/>
        <w:keepNext w:val="0"/>
        <w:keepLines w:val="0"/>
        <w:widowControl/>
        <w:suppressLineNumbers w:val="0"/>
      </w:pPr>
      <w:r>
        <w:t>2.5 View Data via PC Software</w:t>
      </w:r>
    </w:p>
    <w:p w14:paraId="2F61C039">
      <w:pPr>
        <w:pStyle w:val="6"/>
        <w:keepNext w:val="0"/>
        <w:keepLines w:val="0"/>
        <w:widowControl/>
        <w:suppressLineNumbers w:val="0"/>
      </w:pPr>
      <w:r>
        <w:t xml:space="preserve">Once parameters are set, real-time radar detection data can be viewed in the </w:t>
      </w:r>
      <w:r>
        <w:rPr>
          <w:rStyle w:val="9"/>
        </w:rPr>
        <w:t>Target Information panel</w:t>
      </w:r>
      <w:r>
        <w:t>. Clicking "Start" shows energy values for each distance gate. When a gate is triggered, the status indicator turns red, target state shows "Presence", and distance is displayed.</w:t>
      </w:r>
    </w:p>
    <w:p w14:paraId="78140FE8">
      <w:pPr>
        <w:pStyle w:val="6"/>
        <w:keepNext w:val="0"/>
        <w:keepLines w:val="0"/>
        <w:widowControl/>
        <w:suppressLineNumbers w:val="0"/>
      </w:pPr>
      <w:r>
        <w:t xml:space="preserve">Below, the software estimates </w:t>
      </w:r>
      <w:r>
        <w:rPr>
          <w:rStyle w:val="9"/>
        </w:rPr>
        <w:t>average current consumption</w:t>
      </w:r>
      <w:r>
        <w:t xml:space="preserve"> based on the reporting frequency.</w:t>
      </w:r>
      <w:r>
        <w:br w:type="textWrapping"/>
      </w:r>
      <w:r>
        <w:t>Higher reporting frequency results in higher current and power consumption, while lower frequency reduces both.</w:t>
      </w:r>
    </w:p>
    <w:p w14:paraId="64901324">
      <w:pPr>
        <w:rPr>
          <w:rFonts w:hint="eastAsia" w:ascii="MiSans" w:hAnsi="MiSans" w:eastAsia="MiSans" w:cs="MiSans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0500" cy="3028315"/>
            <wp:effectExtent l="0" t="0" r="6350" b="63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28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960AC4">
      <w:pPr>
        <w:rPr>
          <w:rFonts w:hint="eastAsia" w:ascii="MiSans" w:hAnsi="MiSans" w:eastAsia="MiSans" w:cs="MiSans"/>
        </w:rPr>
      </w:pPr>
    </w:p>
    <w:p w14:paraId="052ECC40">
      <w:pPr>
        <w:pStyle w:val="3"/>
        <w:keepNext w:val="0"/>
        <w:keepLines w:val="0"/>
        <w:widowControl/>
        <w:suppressLineNumbers w:val="0"/>
      </w:pPr>
      <w:r>
        <w:t>3. Power Consumption Test</w:t>
      </w:r>
    </w:p>
    <w:p w14:paraId="0BD619B0">
      <w:pPr>
        <w:pStyle w:val="6"/>
        <w:keepNext w:val="0"/>
        <w:keepLines w:val="0"/>
        <w:widowControl/>
        <w:suppressLineNumbers w:val="0"/>
      </w:pPr>
      <w:r>
        <w:t>Rd-03L_V2 achieves ultra-low power consumption by adjusting the reporting frequency. Ai-Thinker has tested and provided reference current values under different frequencies:</w:t>
      </w:r>
    </w:p>
    <w:p w14:paraId="2F368927">
      <w:pPr>
        <w:pStyle w:val="6"/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</w:pPr>
      <w:r>
        <w:rPr>
          <w:rStyle w:val="9"/>
        </w:rPr>
        <w:t>Test Equipment</w:t>
      </w:r>
      <w:r>
        <w:t>: KEYSIGHT_N6705C Current Analyzer</w:t>
      </w:r>
    </w:p>
    <w:p w14:paraId="6E374C2E">
      <w:pPr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9865" cy="2730500"/>
            <wp:effectExtent l="0" t="0" r="6985" b="1270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Sans">
    <w:panose1 w:val="00000500000000000000"/>
    <w:charset w:val="86"/>
    <w:family w:val="auto"/>
    <w:pitch w:val="default"/>
    <w:sig w:usb0="00000001" w:usb1="0A0F1810" w:usb2="00000016" w:usb3="00000000" w:csb0="00040001" w:csb1="00000000"/>
    <w:embedRegular r:id="rId1" w:fontKey="{4EE8EC2D-AF8F-4E77-A960-B92DD735C8B6}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EDCBBD4"/>
    <w:multiLevelType w:val="singleLevel"/>
    <w:tmpl w:val="AEDCBBD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237A8D93"/>
    <w:multiLevelType w:val="singleLevel"/>
    <w:tmpl w:val="237A8D9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601736"/>
    <w:rsid w:val="1B41531C"/>
    <w:rsid w:val="444C2A7C"/>
    <w:rsid w:val="482C5796"/>
    <w:rsid w:val="5E034630"/>
    <w:rsid w:val="7D0A2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1392</Words>
  <Characters>1758</Characters>
  <Lines>0</Lines>
  <Paragraphs>0</Paragraphs>
  <TotalTime>3</TotalTime>
  <ScaleCrop>false</ScaleCrop>
  <LinksUpToDate>false</LinksUpToDate>
  <CharactersWithSpaces>1772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2025-06-23T05:51:00Z</dcterms:created>
  <dc:creator>Ai</dc:creator>
  <cp:lastModifiedBy>梧殇</cp:lastModifiedBy>
  <dcterms:modified xsi:type="dcterms:W3CDTF">2025-06-23T06:20:21Z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eyJoZGlkIjoiOTEwNTkyMGJiNjg2YTg2OTQwOTlmMGJlMDgyZTNkZjIiLCJ1c2VySWQiOiI3NTYyOTYyMTEifQ==</vt:lpwstr>
  </property>
  <property fmtid="{D5CDD505-2E9C-101B-9397-08002B2CF9AE}" pid="4" name="ICV">
    <vt:lpwstr>AB210A4E65E54D6BA8A874E1096D9BB4_12</vt:lpwstr>
  </property>
</Properties>
</file>