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1606.2967741935483"/>
        <w:gridCol w:w="7753.703225806452"/>
        <w:tblGridChange w:id="0">
          <w:tblGrid>
            <w:gridCol w:w="1606.2967741935483"/>
            <w:gridCol w:w="7753.703225806452"/>
          </w:tblGrid>
        </w:tblGridChange>
      </w:tblGrid>
      <w:tr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/* SevSeg 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Copyright 2014 Dean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Licensed under the Apache License, Version 2.0 (the "License");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you may not use this file except in compliance with the License.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You may obtain a copy of the License 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http://www.apache.org/licenses/LICENSE-2.0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Unless required by applicable law or agreed to in writing, software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distributed under the License is distributed on an "AS IS" BASIS,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WITHOUT WARRANTIES OR CONDITIONS OF ANY KIND, either express or implied.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See the License for the specific language governing permissions 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limitations under the License.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This library allows an Arduino to easily display numbers in decimal format 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a 7-segment display without a separate 7-segment display controller.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Direct any questions or suggestions to deanreading@hotmail.com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See the included readme for instructions.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*/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 If you use current-limiting resistors on your segment pins instead of the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 digit pins, then change the '0' in the line below to a '1'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RESISTORS_ON_SEGMENTS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MAXNUMDIGITS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//Increase this number to support larger displays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ifndef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SevSeg_h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SevSeg_h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defined(ARDUINO) &amp;&amp; ARDUINO &gt;=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include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183691"/>
                <w:sz w:val="18"/>
                <w:szCs w:val="18"/>
                <w:highlight w:val="white"/>
                <w:rtl w:val="0"/>
              </w:rPr>
              <w:t xml:space="preserve">"Arduino.h"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include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183691"/>
                <w:sz w:val="18"/>
                <w:szCs w:val="18"/>
                <w:highlight w:val="white"/>
                <w:rtl w:val="0"/>
              </w:rPr>
              <w:t xml:space="preserve">"WProgram.h"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endif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 Use defines to link the hardware configurations to the correct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COMMON_CATHODE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COMMON_ANODE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N_TRANSISTORS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P_TRANSISTORS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NP_COMMON_CATHODE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define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NP_COMMON_ANODE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SevSeg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public: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SevSeg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refreshDisplay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begin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(byte hardwareConfig, byte numDigitsIn, byte digitPinsIn[], byte segmentPinsIn[]);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setBrightness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brightnessIn); </w:t>
            </w: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 A number from 0..100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unsigned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unsigned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(byte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setNumber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float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private: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setNewNum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findDigits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numToShow, byte decPlaces, byte nums[]);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795da3"/>
                <w:sz w:val="18"/>
                <w:szCs w:val="18"/>
                <w:highlight w:val="white"/>
                <w:rtl w:val="0"/>
              </w:rPr>
              <w:t xml:space="preserve">setDigitCodes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(byte nums[], byte decPlaces);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boolean digitOn,digitOff,segmentOn,segmentOff;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byte digitPins[MAXNUMDIGITS];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byte segmentPins[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];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byte numDigits;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byte digitCodes[MAXNUMDIGITS];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ledOnTime;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powersOf10[</w:t>
            </w:r>
            <w:r w:rsidDel="00000000" w:rsidR="00000000" w:rsidRPr="00000000">
              <w:rPr>
                <w:rFonts w:ascii="Consolas" w:cs="Consolas" w:eastAsia="Consolas" w:hAnsi="Consolas"/>
                <w:color w:val="0086b3"/>
                <w:sz w:val="18"/>
                <w:szCs w:val="18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];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color w:val="a71d5d"/>
                <w:sz w:val="18"/>
                <w:szCs w:val="18"/>
                <w:highlight w:val="white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333333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//SevSeg_h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eeeee" w:space="0" w:sz="6" w:val="single"/>
            </w:tcBorders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297.819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color w:val="969896"/>
                <w:sz w:val="18"/>
                <w:szCs w:val="18"/>
                <w:highlight w:val="white"/>
                <w:rtl w:val="0"/>
              </w:rPr>
              <w:t xml:space="preserve">/// END ///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